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12"/>
        <w:gridCol w:w="160"/>
        <w:gridCol w:w="5368"/>
      </w:tblGrid>
      <w:tr w:rsidR="00221576" w:rsidTr="00E84A7A">
        <w:trPr>
          <w:cantSplit/>
          <w:trHeight w:val="839"/>
        </w:trPr>
        <w:tc>
          <w:tcPr>
            <w:tcW w:w="851" w:type="dxa"/>
          </w:tcPr>
          <w:p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160" w:type="dxa"/>
          </w:tcPr>
          <w:p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:rsidR="00221576" w:rsidRPr="00BE410C" w:rsidRDefault="00221576" w:rsidP="00221576">
            <w:pPr>
              <w:pStyle w:val="Sidehoved"/>
              <w:spacing w:after="0"/>
              <w:jc w:val="right"/>
              <w:rPr>
                <w:b/>
                <w:color w:val="999999"/>
                <w:sz w:val="28"/>
                <w:szCs w:val="28"/>
              </w:rPr>
            </w:pPr>
            <w:r w:rsidRPr="00BE410C">
              <w:rPr>
                <w:b/>
                <w:color w:val="999999"/>
                <w:sz w:val="28"/>
                <w:szCs w:val="28"/>
              </w:rPr>
              <w:t>NOTAT</w:t>
            </w:r>
          </w:p>
          <w:p w:rsidR="00221576" w:rsidRPr="000A3136" w:rsidRDefault="00221576" w:rsidP="00221576">
            <w:pPr>
              <w:pStyle w:val="Sidehoved"/>
              <w:spacing w:after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21576" w:rsidRPr="00221576" w:rsidRDefault="00221576" w:rsidP="009803DA">
      <w:pPr>
        <w:spacing w:line="60" w:lineRule="exact"/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5387"/>
      </w:tblGrid>
      <w:tr w:rsidR="000A3136">
        <w:trPr>
          <w:cantSplit/>
          <w:trHeight w:val="284"/>
        </w:trPr>
        <w:tc>
          <w:tcPr>
            <w:tcW w:w="779" w:type="dxa"/>
          </w:tcPr>
          <w:p w:rsidR="000A3136" w:rsidRPr="003C3D0E" w:rsidRDefault="000A3136" w:rsidP="000A3136">
            <w:pPr>
              <w:spacing w:line="200" w:lineRule="exact"/>
              <w:rPr>
                <w:sz w:val="16"/>
              </w:rPr>
            </w:pPr>
          </w:p>
        </w:tc>
        <w:tc>
          <w:tcPr>
            <w:tcW w:w="3402" w:type="dxa"/>
          </w:tcPr>
          <w:p w:rsidR="000A3136" w:rsidRPr="00874023" w:rsidRDefault="00E85ADB" w:rsidP="00874023">
            <w:pPr>
              <w:spacing w:line="200" w:lineRule="exact"/>
              <w:rPr>
                <w:sz w:val="16"/>
                <w:szCs w:val="16"/>
              </w:rPr>
            </w:pPr>
            <w:bookmarkStart w:id="0" w:name="bmkUnitSender"/>
            <w:bookmarkEnd w:id="0"/>
            <w:r>
              <w:rPr>
                <w:sz w:val="16"/>
                <w:szCs w:val="16"/>
              </w:rPr>
              <w:t>Byrådscentret</w:t>
            </w:r>
          </w:p>
        </w:tc>
        <w:tc>
          <w:tcPr>
            <w:tcW w:w="5387" w:type="dxa"/>
          </w:tcPr>
          <w:p w:rsidR="000A3136" w:rsidRPr="003C3D0E" w:rsidRDefault="00E85ADB" w:rsidP="000A3136">
            <w:pPr>
              <w:spacing w:line="200" w:lineRule="exact"/>
              <w:jc w:val="right"/>
              <w:rPr>
                <w:sz w:val="16"/>
              </w:rPr>
            </w:pPr>
            <w:bookmarkStart w:id="1" w:name="bmkDate"/>
            <w:bookmarkEnd w:id="1"/>
            <w:r>
              <w:rPr>
                <w:sz w:val="16"/>
              </w:rPr>
              <w:t>17-05-2013</w:t>
            </w:r>
          </w:p>
        </w:tc>
      </w:tr>
    </w:tbl>
    <w:p w:rsidR="00360EE5" w:rsidRDefault="00360EE5"/>
    <w:p w:rsidR="00C70F53" w:rsidRDefault="006C611D" w:rsidP="00F75CD0">
      <w:pPr>
        <w:rPr>
          <w:b/>
          <w:bCs/>
        </w:rPr>
      </w:pPr>
      <w:bookmarkStart w:id="2" w:name="bmkHeader"/>
      <w:bookmarkEnd w:id="2"/>
      <w:r w:rsidRPr="006C611D">
        <w:rPr>
          <w:b/>
          <w:bCs/>
        </w:rPr>
        <w:t>Dispensation fra lokalplan 2.24 til ikke at være medlem af den overordnede grun</w:t>
      </w:r>
      <w:r w:rsidRPr="006C611D">
        <w:rPr>
          <w:b/>
          <w:bCs/>
        </w:rPr>
        <w:t>d</w:t>
      </w:r>
      <w:r w:rsidRPr="006C611D">
        <w:rPr>
          <w:b/>
          <w:bCs/>
        </w:rPr>
        <w:t xml:space="preserve">ejerforening for boligområdet Kragehave Vest </w:t>
      </w:r>
      <w:r>
        <w:rPr>
          <w:b/>
          <w:bCs/>
        </w:rPr>
        <w:t>–</w:t>
      </w:r>
      <w:r w:rsidRPr="006C611D">
        <w:rPr>
          <w:b/>
          <w:bCs/>
        </w:rPr>
        <w:t xml:space="preserve"> </w:t>
      </w:r>
      <w:proofErr w:type="spellStart"/>
      <w:r w:rsidRPr="006C611D">
        <w:rPr>
          <w:b/>
          <w:bCs/>
        </w:rPr>
        <w:t>PMU</w:t>
      </w:r>
      <w:r w:rsidR="00530505">
        <w:rPr>
          <w:b/>
          <w:bCs/>
        </w:rPr>
        <w:t>s</w:t>
      </w:r>
      <w:proofErr w:type="spellEnd"/>
      <w:r w:rsidR="00530505">
        <w:rPr>
          <w:b/>
          <w:bCs/>
        </w:rPr>
        <w:t xml:space="preserve"> beslutning om at fritage grundejerforeninger for kontingent</w:t>
      </w:r>
    </w:p>
    <w:p w:rsidR="006C611D" w:rsidRPr="00F75CD0" w:rsidRDefault="006C611D" w:rsidP="00F75CD0"/>
    <w:p w:rsidR="00830C9C" w:rsidRDefault="006C611D" w:rsidP="00F75CD0">
      <w:bookmarkStart w:id="3" w:name="bmkStart"/>
      <w:bookmarkStart w:id="4" w:name="_GoBack"/>
      <w:bookmarkEnd w:id="3"/>
      <w:bookmarkEnd w:id="4"/>
      <w:r>
        <w:t>Plan- og Miljøudvalget besluttede på sit møde 14-05-2013 følgende:</w:t>
      </w:r>
    </w:p>
    <w:p w:rsidR="006C611D" w:rsidRDefault="006C611D" w:rsidP="00F75CD0"/>
    <w:p w:rsidR="006C611D" w:rsidRDefault="006C611D" w:rsidP="006C611D">
      <w:r>
        <w:t>”</w:t>
      </w:r>
      <w:r w:rsidR="00C36976" w:rsidRPr="00C36976">
        <w:t>Udvalget besluttede at grundejerne øst for Bygaden skal være med i den overordnede grund-ejerforening for hele Kragehave, men at de ikke skal bidrage til driften af de fælles arealer</w:t>
      </w:r>
      <w:r w:rsidRPr="006C611D">
        <w:t>.</w:t>
      </w:r>
      <w:r>
        <w:t>”</w:t>
      </w:r>
    </w:p>
    <w:p w:rsidR="006C611D" w:rsidRDefault="006C611D" w:rsidP="006C611D"/>
    <w:p w:rsidR="006C611D" w:rsidRDefault="006C611D" w:rsidP="006C611D">
      <w:r>
        <w:t xml:space="preserve">Dette notat belyser, hvorvidt Kommunen har kompetence til at træffe beslutning om </w:t>
      </w:r>
      <w:r w:rsidR="00530505">
        <w:t xml:space="preserve">at fritage grundejerne øst for Bygaden fra </w:t>
      </w:r>
      <w:r w:rsidR="00A02190">
        <w:t xml:space="preserve">at skulle bidrage til driften af de fælles arealer. Der lægges herved til grund, at </w:t>
      </w:r>
      <w:r w:rsidR="000C5FD0">
        <w:t>Plan- og Miljøudvalget</w:t>
      </w:r>
      <w:r w:rsidR="00A02190">
        <w:t xml:space="preserve"> </w:t>
      </w:r>
      <w:r w:rsidR="000C5FD0">
        <w:t xml:space="preserve">indstiller, at beboerne øst for Bygaden </w:t>
      </w:r>
      <w:r w:rsidR="00A02190">
        <w:t>fritage</w:t>
      </w:r>
      <w:r w:rsidR="000C5FD0">
        <w:t>s</w:t>
      </w:r>
      <w:r w:rsidR="00A02190">
        <w:t xml:space="preserve"> fra at bidrage økonomisk</w:t>
      </w:r>
      <w:r w:rsidR="00A02190" w:rsidRPr="00A02190">
        <w:t xml:space="preserve"> </w:t>
      </w:r>
      <w:r w:rsidR="00A02190">
        <w:t xml:space="preserve">til den overordnede grundejerforening, altså fritagelse fra </w:t>
      </w:r>
      <w:r w:rsidR="00530505">
        <w:t>kontingentb</w:t>
      </w:r>
      <w:r w:rsidR="00530505">
        <w:t>e</w:t>
      </w:r>
      <w:r w:rsidR="00530505">
        <w:t>taling</w:t>
      </w:r>
      <w:r w:rsidR="000C5FD0">
        <w:t>, mv.</w:t>
      </w:r>
    </w:p>
    <w:p w:rsidR="00530505" w:rsidRDefault="00530505" w:rsidP="006C611D"/>
    <w:p w:rsidR="00530505" w:rsidRDefault="00530505" w:rsidP="00530505">
      <w:r w:rsidRPr="00530505">
        <w:t xml:space="preserve">Det er endnu ukendt, hvordan den overordnede grundejerforening </w:t>
      </w:r>
      <w:r>
        <w:t xml:space="preserve">kommer til at </w:t>
      </w:r>
      <w:r w:rsidRPr="00530505">
        <w:t xml:space="preserve">organisere sig, </w:t>
      </w:r>
      <w:r>
        <w:t>d</w:t>
      </w:r>
      <w:r w:rsidR="000C5FD0">
        <w:t>a den stadig er under stiftelse</w:t>
      </w:r>
      <w:r>
        <w:t>. H</w:t>
      </w:r>
      <w:r w:rsidRPr="00530505">
        <w:t xml:space="preserve">vis </w:t>
      </w:r>
      <w:r>
        <w:t>beboerne</w:t>
      </w:r>
      <w:r w:rsidRPr="00530505">
        <w:t xml:space="preserve"> vælger samme model som i </w:t>
      </w:r>
      <w:proofErr w:type="spellStart"/>
      <w:r w:rsidRPr="00530505">
        <w:t>Torstorp</w:t>
      </w:r>
      <w:proofErr w:type="spellEnd"/>
      <w:r w:rsidRPr="00530505">
        <w:t xml:space="preserve"> o</w:t>
      </w:r>
      <w:r w:rsidRPr="00530505">
        <w:t>m</w:t>
      </w:r>
      <w:r w:rsidRPr="00530505">
        <w:t xml:space="preserve">rådet, vil det være den enkelte underordnede forening, der er medlem i den overordnede. Grundejerforeningen Frøhaven samt seniorbofællesskaberne Kragehave Vest 1 og </w:t>
      </w:r>
      <w:proofErr w:type="spellStart"/>
      <w:r w:rsidRPr="00530505">
        <w:t>Frøvænget</w:t>
      </w:r>
      <w:proofErr w:type="spellEnd"/>
      <w:r w:rsidRPr="00530505">
        <w:t xml:space="preserve"> kan</w:t>
      </w:r>
      <w:r w:rsidR="0060494F">
        <w:t>,</w:t>
      </w:r>
      <w:r w:rsidRPr="00530505">
        <w:t xml:space="preserve"> som juridiske personer</w:t>
      </w:r>
      <w:r w:rsidR="0060494F">
        <w:t>,</w:t>
      </w:r>
      <w:r w:rsidRPr="00530505">
        <w:t xml:space="preserve"> i den henseende </w:t>
      </w:r>
      <w:r w:rsidR="0060494F">
        <w:t xml:space="preserve">hver især </w:t>
      </w:r>
      <w:r w:rsidRPr="00530505">
        <w:t xml:space="preserve">betragtes som </w:t>
      </w:r>
      <w:r w:rsidR="0060494F">
        <w:t>enkelt</w:t>
      </w:r>
      <w:r w:rsidRPr="00530505">
        <w:t>medlemmer af den overordnede grundejerforening. Der er også mulighed for at den overordnede grundeje</w:t>
      </w:r>
      <w:r w:rsidRPr="00530505">
        <w:t>r</w:t>
      </w:r>
      <w:r w:rsidRPr="00530505">
        <w:t>forening kan væ</w:t>
      </w:r>
      <w:r w:rsidRPr="00530505">
        <w:t>l</w:t>
      </w:r>
      <w:r w:rsidRPr="00530505">
        <w:t>ge, at de enkelte ejere af parcellern</w:t>
      </w:r>
      <w:r>
        <w:t>e, skal være direkte medlemmer.</w:t>
      </w:r>
    </w:p>
    <w:p w:rsidR="00B45EEC" w:rsidRPr="00B45EEC" w:rsidRDefault="00B45EEC" w:rsidP="00B45EEC"/>
    <w:p w:rsidR="00B45EEC" w:rsidRPr="00B45EEC" w:rsidRDefault="00B45EEC" w:rsidP="00B45EEC">
      <w:r w:rsidRPr="00B45EEC">
        <w:t>Kommunen har ifølge planloven ret til at bestemme, at der skal oprettes grundejerfor</w:t>
      </w:r>
      <w:r w:rsidRPr="00B45EEC">
        <w:t>e</w:t>
      </w:r>
      <w:r w:rsidRPr="00B45EEC">
        <w:t>ning(er) i et område. Kommunen kan dispensere fra lokalplanen, men planloven giver ikke hjemmel til at fastsætte, hvor meget de enkelte medlemmer skal betale i kontingent. Heller ikke i retspraksis er der holdepunkter for, at Kommunen kan fastsætte, hvilket kontingent e</w:t>
      </w:r>
      <w:r w:rsidRPr="00B45EEC">
        <w:t>n</w:t>
      </w:r>
      <w:r w:rsidRPr="00B45EEC">
        <w:t>keltmedlemmer skal betale til grundejerforeningen. Dette er, som nævnt ovenfor, generalfo</w:t>
      </w:r>
      <w:r w:rsidRPr="00B45EEC">
        <w:t>r</w:t>
      </w:r>
      <w:r w:rsidRPr="00B45EEC">
        <w:t>samlingens suveræne kompetence.</w:t>
      </w:r>
    </w:p>
    <w:p w:rsidR="00B45EEC" w:rsidRPr="00B45EEC" w:rsidRDefault="00B45EEC" w:rsidP="00B45EEC"/>
    <w:p w:rsidR="00B45EEC" w:rsidRPr="00B45EEC" w:rsidRDefault="00B45EEC" w:rsidP="00B45EEC">
      <w:r w:rsidRPr="00B45EEC">
        <w:t>Dette er også bedst stemmende med det faktum, at grundejerforeningen har pligt til at vedl</w:t>
      </w:r>
      <w:r w:rsidRPr="00B45EEC">
        <w:t>i</w:t>
      </w:r>
      <w:r w:rsidRPr="00B45EEC">
        <w:t>geholde fællesarealer mv., og derfor også har brug for at kunne fastsætte et budget og o</w:t>
      </w:r>
      <w:r w:rsidRPr="00B45EEC">
        <w:t>p</w:t>
      </w:r>
      <w:r w:rsidRPr="00B45EEC">
        <w:t>kræve kontingent hos medlemmerne i overensstemmelse med den vedligeholdelsesgrad, som foreningen beslutter. Denne mulighed udhules, hvis medlemmerne – eller blot nogle af me</w:t>
      </w:r>
      <w:r w:rsidRPr="00B45EEC">
        <w:t>d</w:t>
      </w:r>
      <w:r w:rsidRPr="00B45EEC">
        <w:t>lemmerne – ikke skal betale kontingent.</w:t>
      </w:r>
    </w:p>
    <w:p w:rsidR="00B45EEC" w:rsidRPr="00B45EEC" w:rsidRDefault="00B45EEC" w:rsidP="00B45EEC"/>
    <w:p w:rsidR="00B45EEC" w:rsidRPr="00B45EEC" w:rsidRDefault="00B45EEC" w:rsidP="00B45EEC">
      <w:r w:rsidRPr="00B45EEC">
        <w:t>Dertil kommer hensynet til de øvrige grundejere i området, som har en berettiget forventning om, at alle deltagere i grundejerforeningen skal bidrage til fællesarealernes vedligeholdelse.</w:t>
      </w:r>
    </w:p>
    <w:p w:rsidR="00530505" w:rsidRDefault="00530505" w:rsidP="00530505"/>
    <w:p w:rsidR="00530505" w:rsidRPr="00530505" w:rsidRDefault="00530505" w:rsidP="00530505">
      <w:r w:rsidRPr="00530505">
        <w:t>Det er foreningens generalforsamling, der har den suveræne ret til at fastsætte medlemme</w:t>
      </w:r>
      <w:r w:rsidRPr="00530505">
        <w:t>r</w:t>
      </w:r>
      <w:r w:rsidRPr="00530505">
        <w:t xml:space="preserve">nes kontingent. </w:t>
      </w:r>
      <w:r>
        <w:t>U</w:t>
      </w:r>
      <w:r w:rsidRPr="00530505">
        <w:t>dgangspunktet er, at der skal betales lige store bidrag, hvad enten bidrag</w:t>
      </w:r>
      <w:r w:rsidRPr="00530505">
        <w:t>s</w:t>
      </w:r>
      <w:r w:rsidRPr="00530505">
        <w:t>pligten vedrører selve ejendommen eller boligenheder herpå, samt at bidragene ikke er diff</w:t>
      </w:r>
      <w:r w:rsidRPr="00530505">
        <w:t>e</w:t>
      </w:r>
      <w:r w:rsidRPr="00530505">
        <w:t>rentieret inden for henholdsvis ejendommene og boligenhederne.</w:t>
      </w:r>
    </w:p>
    <w:p w:rsidR="00530505" w:rsidRPr="00530505" w:rsidRDefault="00530505" w:rsidP="00530505"/>
    <w:p w:rsidR="00530505" w:rsidRDefault="00DE6E7D" w:rsidP="00530505">
      <w:r>
        <w:t>Hvis foreningens vedtægt tillader det, kan g</w:t>
      </w:r>
      <w:r w:rsidR="00530505" w:rsidRPr="00530505">
        <w:t>eneralforsamlingen dog fravige dette lighedsu</w:t>
      </w:r>
      <w:r w:rsidR="00530505" w:rsidRPr="00530505">
        <w:t>d</w:t>
      </w:r>
      <w:r w:rsidR="00530505" w:rsidRPr="00530505">
        <w:t xml:space="preserve">gangspunkt, </w:t>
      </w:r>
      <w:r>
        <w:t>og beslutte, at der skal betales forskelligt bidrag. Generalforsamlingen</w:t>
      </w:r>
      <w:r w:rsidR="00530505" w:rsidRPr="00530505">
        <w:t xml:space="preserve"> kan sel</w:t>
      </w:r>
      <w:r w:rsidR="00530505" w:rsidRPr="00530505">
        <w:t>v</w:t>
      </w:r>
      <w:r w:rsidR="00530505" w:rsidRPr="00530505">
        <w:t>følgelig ikke herved tilsidesætte al</w:t>
      </w:r>
      <w:r w:rsidR="00530505">
        <w:t>mindelige lighedsgrundsætnin</w:t>
      </w:r>
      <w:r>
        <w:t>ger</w:t>
      </w:r>
      <w:r w:rsidR="00530505">
        <w:t>.</w:t>
      </w:r>
      <w:r>
        <w:t xml:space="preserve"> </w:t>
      </w:r>
      <w:r w:rsidR="00530505" w:rsidRPr="00530505">
        <w:t>Eksempelvis kan man i</w:t>
      </w:r>
      <w:r w:rsidR="00530505" w:rsidRPr="00530505">
        <w:t>k</w:t>
      </w:r>
      <w:r w:rsidR="00530505" w:rsidRPr="00530505">
        <w:t>ke udelukke, at det vil være hensigtsmæssigt at fravige lighedsudgangspunktet, hvor visse fællesfaciliteter ikke står til rådighed for alle medlemmer, eller at enkelte ejendomme udøver et særligt slid på fællesanlæg.</w:t>
      </w:r>
      <w:r>
        <w:t xml:space="preserve"> </w:t>
      </w:r>
      <w:r w:rsidR="00530505" w:rsidRPr="00530505">
        <w:t>Det vil være stridende mod foreningsretten, hvis foreningen besluttede en usaglig skæv</w:t>
      </w:r>
      <w:r w:rsidR="00530505">
        <w:t>vri</w:t>
      </w:r>
      <w:r w:rsidR="00530505">
        <w:t>d</w:t>
      </w:r>
      <w:r w:rsidR="00530505">
        <w:t>ning af kontingentet.</w:t>
      </w:r>
    </w:p>
    <w:p w:rsidR="003F714D" w:rsidRDefault="003F714D" w:rsidP="00530505"/>
    <w:p w:rsidR="003F714D" w:rsidRDefault="003F714D" w:rsidP="00530505">
      <w:r>
        <w:lastRenderedPageBreak/>
        <w:t>Hvis foreningen skulle vedtage, at medlemmerne skal betales forskelligt kontingent, skal fo</w:t>
      </w:r>
      <w:r>
        <w:t>r</w:t>
      </w:r>
      <w:r>
        <w:t xml:space="preserve">eningen samtidig vedtage, hvilken betydning det skal have for stemmeretten. Hvis man skulle beslutte at fritage nogle medlemmer helt for kontingent, </w:t>
      </w:r>
      <w:r w:rsidR="00135565">
        <w:t>vil man sandsynligvis samtidig b</w:t>
      </w:r>
      <w:r w:rsidR="00135565">
        <w:t>e</w:t>
      </w:r>
      <w:r w:rsidR="00135565">
        <w:t>slutte, at disse medlemmer heller ikke skal have stemmeret. Ellers ville medlemmer uden økonomiske forpligtelser kunne medvirke til beslutninger, der har økonomiske konsekvenser for de øvrige medlemmer.</w:t>
      </w:r>
    </w:p>
    <w:p w:rsidR="00135565" w:rsidRDefault="00135565" w:rsidP="00530505"/>
    <w:p w:rsidR="00135565" w:rsidRDefault="00135565" w:rsidP="00530505">
      <w:r>
        <w:t>Som nævnt ovenfor er den overordnede grundejerforening under stiftelse. Administrationen er ikke i besiddelse af et udkast til vedtægter, hvorfor det ikke vides, om de kommer til at i</w:t>
      </w:r>
      <w:r>
        <w:t>n</w:t>
      </w:r>
      <w:r>
        <w:t>deholde hjemmel til differentiering af kontingentet.</w:t>
      </w:r>
    </w:p>
    <w:p w:rsidR="001B484C" w:rsidRDefault="001B484C" w:rsidP="00F75CD0"/>
    <w:p w:rsidR="001B484C" w:rsidRDefault="001B484C" w:rsidP="00F75CD0">
      <w:r>
        <w:rPr>
          <w:b/>
        </w:rPr>
        <w:t>Konklusion</w:t>
      </w:r>
    </w:p>
    <w:p w:rsidR="001B484C" w:rsidRDefault="001B484C" w:rsidP="00F75CD0"/>
    <w:p w:rsidR="00012389" w:rsidRDefault="00A1519F" w:rsidP="00F75CD0">
      <w:r>
        <w:t>Kommunen har ikke hjemmel til at træffe beslutning om kontingentets størrelse for grun</w:t>
      </w:r>
      <w:r>
        <w:t>d</w:t>
      </w:r>
      <w:r>
        <w:t>ejerforeningers medlemmer.</w:t>
      </w:r>
    </w:p>
    <w:p w:rsidR="00012389" w:rsidRDefault="00012389" w:rsidP="00F75CD0"/>
    <w:p w:rsidR="00012389" w:rsidRDefault="00012389" w:rsidP="00F75CD0"/>
    <w:p w:rsidR="009262EA" w:rsidRDefault="009262EA" w:rsidP="00F75CD0"/>
    <w:p w:rsidR="00012389" w:rsidRDefault="00012389" w:rsidP="00F75CD0">
      <w:r>
        <w:t>Anette Vorm</w:t>
      </w:r>
    </w:p>
    <w:p w:rsidR="00012389" w:rsidRPr="001B484C" w:rsidRDefault="00012389" w:rsidP="00F75CD0">
      <w:r>
        <w:t>juridisk konsulent</w:t>
      </w:r>
    </w:p>
    <w:sectPr w:rsidR="00012389" w:rsidRPr="001B484C" w:rsidSect="000A3136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7D" w:rsidRDefault="00DE6E7D">
      <w:r>
        <w:separator/>
      </w:r>
    </w:p>
  </w:endnote>
  <w:endnote w:type="continuationSeparator" w:id="0">
    <w:p w:rsidR="00DE6E7D" w:rsidRDefault="00DE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7D" w:rsidRDefault="00DE6E7D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>
      <w:rPr>
        <w:rStyle w:val="Sidetal"/>
        <w:sz w:val="20"/>
      </w:rPr>
      <w:fldChar w:fldCharType="separate"/>
    </w:r>
    <w:r w:rsidR="009262EA">
      <w:rPr>
        <w:rStyle w:val="Sidetal"/>
        <w:noProof/>
        <w:sz w:val="20"/>
      </w:rPr>
      <w:t>2</w:t>
    </w:r>
    <w:r>
      <w:rPr>
        <w:rStyle w:val="Sidet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leftFromText="142" w:rightFromText="142" w:vertAnchor="page" w:horzAnchor="page" w:tblpX="4821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1697"/>
      <w:gridCol w:w="1695"/>
      <w:gridCol w:w="1694"/>
    </w:tblGrid>
    <w:tr w:rsidR="00DE6E7D" w:rsidTr="009E3EFF">
      <w:tc>
        <w:tcPr>
          <w:tcW w:w="1697" w:type="dxa"/>
        </w:tcPr>
        <w:p w:rsidR="00DE6E7D" w:rsidRDefault="00DE6E7D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r w:rsidRPr="00D02112">
            <w:rPr>
              <w:sz w:val="16"/>
              <w:szCs w:val="16"/>
            </w:rPr>
            <w:t>Sagsbehandler</w:t>
          </w:r>
        </w:p>
      </w:tc>
      <w:tc>
        <w:tcPr>
          <w:tcW w:w="1695" w:type="dxa"/>
        </w:tcPr>
        <w:p w:rsidR="00DE6E7D" w:rsidRDefault="00DE6E7D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proofErr w:type="spellStart"/>
          <w:r w:rsidRPr="00D02112">
            <w:rPr>
              <w:sz w:val="16"/>
              <w:szCs w:val="16"/>
            </w:rPr>
            <w:t>Doknr</w:t>
          </w:r>
          <w:proofErr w:type="spellEnd"/>
          <w:r w:rsidRPr="00D02112">
            <w:rPr>
              <w:sz w:val="16"/>
              <w:szCs w:val="16"/>
            </w:rPr>
            <w:t>.</w:t>
          </w:r>
        </w:p>
      </w:tc>
      <w:tc>
        <w:tcPr>
          <w:tcW w:w="1694" w:type="dxa"/>
        </w:tcPr>
        <w:p w:rsidR="00DE6E7D" w:rsidRDefault="00DE6E7D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r>
            <w:rPr>
              <w:sz w:val="16"/>
              <w:szCs w:val="16"/>
            </w:rPr>
            <w:t>Sags</w:t>
          </w:r>
          <w:r w:rsidRPr="00D02112">
            <w:rPr>
              <w:sz w:val="16"/>
              <w:szCs w:val="16"/>
            </w:rPr>
            <w:t>nr.</w:t>
          </w:r>
        </w:p>
      </w:tc>
    </w:tr>
    <w:tr w:rsidR="00DE6E7D" w:rsidTr="009E3EFF">
      <w:tc>
        <w:tcPr>
          <w:tcW w:w="1697" w:type="dxa"/>
        </w:tcPr>
        <w:p w:rsidR="00DE6E7D" w:rsidRPr="00255FD7" w:rsidRDefault="00DE6E7D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bookmarkStart w:id="5" w:name="bmkInitialsSender"/>
          <w:bookmarkEnd w:id="5"/>
          <w:proofErr w:type="spellStart"/>
          <w:r>
            <w:rPr>
              <w:sz w:val="16"/>
              <w:szCs w:val="16"/>
            </w:rPr>
            <w:t>AnetteVo</w:t>
          </w:r>
          <w:proofErr w:type="spellEnd"/>
        </w:p>
      </w:tc>
      <w:tc>
        <w:tcPr>
          <w:tcW w:w="1695" w:type="dxa"/>
        </w:tcPr>
        <w:p w:rsidR="00DE6E7D" w:rsidRPr="00255FD7" w:rsidRDefault="00DE6E7D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bookmarkStart w:id="6" w:name="bmkDocumentNo"/>
          <w:bookmarkEnd w:id="6"/>
          <w:proofErr w:type="gramStart"/>
          <w:r>
            <w:rPr>
              <w:sz w:val="16"/>
              <w:szCs w:val="16"/>
            </w:rPr>
            <w:t>123336</w:t>
          </w:r>
          <w:proofErr w:type="gramEnd"/>
          <w:r>
            <w:rPr>
              <w:sz w:val="16"/>
              <w:szCs w:val="16"/>
            </w:rPr>
            <w:t>/13</w:t>
          </w:r>
        </w:p>
      </w:tc>
      <w:tc>
        <w:tcPr>
          <w:tcW w:w="1694" w:type="dxa"/>
        </w:tcPr>
        <w:p w:rsidR="00DE6E7D" w:rsidRPr="00255FD7" w:rsidRDefault="00DE6E7D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bookmarkStart w:id="7" w:name="bmkCaseNo"/>
          <w:bookmarkEnd w:id="7"/>
          <w:r>
            <w:rPr>
              <w:sz w:val="16"/>
              <w:szCs w:val="16"/>
            </w:rPr>
            <w:t>04/</w:t>
          </w:r>
          <w:proofErr w:type="gramStart"/>
          <w:r>
            <w:rPr>
              <w:sz w:val="16"/>
              <w:szCs w:val="16"/>
            </w:rPr>
            <w:t>28526</w:t>
          </w:r>
          <w:proofErr w:type="gramEnd"/>
        </w:p>
      </w:tc>
    </w:tr>
  </w:tbl>
  <w:p w:rsidR="00DE6E7D" w:rsidRDefault="00DE6E7D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  <w:p w:rsidR="00DE6E7D" w:rsidRDefault="00DE6E7D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  <w:p w:rsidR="00DE6E7D" w:rsidRDefault="00DE6E7D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  <w:p w:rsidR="00DE6E7D" w:rsidRDefault="00DE6E7D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  <w:p w:rsidR="00DE6E7D" w:rsidRDefault="00DE6E7D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7D" w:rsidRDefault="00DE6E7D">
      <w:r>
        <w:separator/>
      </w:r>
    </w:p>
  </w:footnote>
  <w:footnote w:type="continuationSeparator" w:id="0">
    <w:p w:rsidR="00DE6E7D" w:rsidRDefault="00DE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7D" w:rsidRDefault="00DE6E7D">
    <w:pPr>
      <w:pStyle w:val="Sidehoved"/>
      <w:spacing w:after="0"/>
      <w:ind w:right="96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7D" w:rsidRPr="00F5114B" w:rsidRDefault="00DE6E7D" w:rsidP="008C2F22">
    <w:pPr>
      <w:pStyle w:val="Sidehoved"/>
      <w:spacing w:after="0" w:line="60" w:lineRule="exact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1079500</wp:posOffset>
          </wp:positionH>
          <wp:positionV relativeFrom="page">
            <wp:posOffset>478790</wp:posOffset>
          </wp:positionV>
          <wp:extent cx="1619250" cy="409575"/>
          <wp:effectExtent l="1905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59"/>
  <w:printFractionalCharacterWidth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erudskrevet" w:val="true"/>
    <w:docVar w:name="SaveInTemplateCenterEnabled" w:val="False"/>
  </w:docVars>
  <w:rsids>
    <w:rsidRoot w:val="00E85ADB"/>
    <w:rsid w:val="00001221"/>
    <w:rsid w:val="00012389"/>
    <w:rsid w:val="00012DE0"/>
    <w:rsid w:val="00030DDC"/>
    <w:rsid w:val="00035DB1"/>
    <w:rsid w:val="0003738C"/>
    <w:rsid w:val="000433F1"/>
    <w:rsid w:val="000459A7"/>
    <w:rsid w:val="00052F34"/>
    <w:rsid w:val="00095363"/>
    <w:rsid w:val="000A3136"/>
    <w:rsid w:val="000A3AEB"/>
    <w:rsid w:val="000C5FD0"/>
    <w:rsid w:val="000D5D48"/>
    <w:rsid w:val="001024F6"/>
    <w:rsid w:val="001159EC"/>
    <w:rsid w:val="00135565"/>
    <w:rsid w:val="001605CE"/>
    <w:rsid w:val="0017076C"/>
    <w:rsid w:val="00172265"/>
    <w:rsid w:val="0017441B"/>
    <w:rsid w:val="0017611B"/>
    <w:rsid w:val="00194C1C"/>
    <w:rsid w:val="001B484C"/>
    <w:rsid w:val="001C4AE2"/>
    <w:rsid w:val="001E1A9F"/>
    <w:rsid w:val="001F0D81"/>
    <w:rsid w:val="001F3F56"/>
    <w:rsid w:val="00201EF6"/>
    <w:rsid w:val="00221576"/>
    <w:rsid w:val="00237C52"/>
    <w:rsid w:val="00255FD7"/>
    <w:rsid w:val="00297977"/>
    <w:rsid w:val="002B089C"/>
    <w:rsid w:val="002C38AC"/>
    <w:rsid w:val="002E0913"/>
    <w:rsid w:val="00325EFA"/>
    <w:rsid w:val="003573EB"/>
    <w:rsid w:val="00360EE5"/>
    <w:rsid w:val="003755A8"/>
    <w:rsid w:val="00377EFB"/>
    <w:rsid w:val="00382107"/>
    <w:rsid w:val="003B491B"/>
    <w:rsid w:val="003C1111"/>
    <w:rsid w:val="003C25E7"/>
    <w:rsid w:val="003C3D0E"/>
    <w:rsid w:val="003D4151"/>
    <w:rsid w:val="003E3B7C"/>
    <w:rsid w:val="003F714D"/>
    <w:rsid w:val="004077D7"/>
    <w:rsid w:val="004444C6"/>
    <w:rsid w:val="00463FB1"/>
    <w:rsid w:val="00475577"/>
    <w:rsid w:val="004777B3"/>
    <w:rsid w:val="004D6AEC"/>
    <w:rsid w:val="004E208F"/>
    <w:rsid w:val="00516E80"/>
    <w:rsid w:val="005175B8"/>
    <w:rsid w:val="00530505"/>
    <w:rsid w:val="005354A4"/>
    <w:rsid w:val="00535826"/>
    <w:rsid w:val="00537618"/>
    <w:rsid w:val="00545A41"/>
    <w:rsid w:val="00563FD4"/>
    <w:rsid w:val="005A56BC"/>
    <w:rsid w:val="005D54B6"/>
    <w:rsid w:val="005D68C0"/>
    <w:rsid w:val="005D7C29"/>
    <w:rsid w:val="0060494F"/>
    <w:rsid w:val="00615BC6"/>
    <w:rsid w:val="00624CA9"/>
    <w:rsid w:val="0064028F"/>
    <w:rsid w:val="00644F1D"/>
    <w:rsid w:val="00673709"/>
    <w:rsid w:val="006778E6"/>
    <w:rsid w:val="006C611D"/>
    <w:rsid w:val="006D12FD"/>
    <w:rsid w:val="006D2226"/>
    <w:rsid w:val="006F05C0"/>
    <w:rsid w:val="0070702D"/>
    <w:rsid w:val="0071702F"/>
    <w:rsid w:val="007239EC"/>
    <w:rsid w:val="007258B5"/>
    <w:rsid w:val="0073005F"/>
    <w:rsid w:val="00742BBE"/>
    <w:rsid w:val="007742CA"/>
    <w:rsid w:val="007912FF"/>
    <w:rsid w:val="007B5D2E"/>
    <w:rsid w:val="007D3520"/>
    <w:rsid w:val="007F14E0"/>
    <w:rsid w:val="00806BD1"/>
    <w:rsid w:val="00817FAF"/>
    <w:rsid w:val="00824418"/>
    <w:rsid w:val="00827358"/>
    <w:rsid w:val="00830C9C"/>
    <w:rsid w:val="00874023"/>
    <w:rsid w:val="00875C1E"/>
    <w:rsid w:val="00887242"/>
    <w:rsid w:val="008C2F22"/>
    <w:rsid w:val="008C3007"/>
    <w:rsid w:val="00920B85"/>
    <w:rsid w:val="009262EA"/>
    <w:rsid w:val="00927269"/>
    <w:rsid w:val="00954157"/>
    <w:rsid w:val="009577FF"/>
    <w:rsid w:val="00962224"/>
    <w:rsid w:val="009701D3"/>
    <w:rsid w:val="00976706"/>
    <w:rsid w:val="009803DA"/>
    <w:rsid w:val="009A5F03"/>
    <w:rsid w:val="009E3EFF"/>
    <w:rsid w:val="009F27E7"/>
    <w:rsid w:val="00A02190"/>
    <w:rsid w:val="00A13B08"/>
    <w:rsid w:val="00A1431C"/>
    <w:rsid w:val="00A1519F"/>
    <w:rsid w:val="00A61702"/>
    <w:rsid w:val="00A66F77"/>
    <w:rsid w:val="00A84D56"/>
    <w:rsid w:val="00A93C1B"/>
    <w:rsid w:val="00AD103D"/>
    <w:rsid w:val="00AD37A9"/>
    <w:rsid w:val="00B103C0"/>
    <w:rsid w:val="00B27388"/>
    <w:rsid w:val="00B44B74"/>
    <w:rsid w:val="00B45EEC"/>
    <w:rsid w:val="00B46AB4"/>
    <w:rsid w:val="00B63D2B"/>
    <w:rsid w:val="00B81051"/>
    <w:rsid w:val="00B878AC"/>
    <w:rsid w:val="00B977D3"/>
    <w:rsid w:val="00BC5779"/>
    <w:rsid w:val="00BE410C"/>
    <w:rsid w:val="00C062CD"/>
    <w:rsid w:val="00C244ED"/>
    <w:rsid w:val="00C36976"/>
    <w:rsid w:val="00C70F53"/>
    <w:rsid w:val="00C74D31"/>
    <w:rsid w:val="00C8138F"/>
    <w:rsid w:val="00CA7AB3"/>
    <w:rsid w:val="00CC3DA3"/>
    <w:rsid w:val="00D016DD"/>
    <w:rsid w:val="00D05652"/>
    <w:rsid w:val="00D0764C"/>
    <w:rsid w:val="00D12F7F"/>
    <w:rsid w:val="00D33F15"/>
    <w:rsid w:val="00D55454"/>
    <w:rsid w:val="00D758B3"/>
    <w:rsid w:val="00D86FD5"/>
    <w:rsid w:val="00DA64BF"/>
    <w:rsid w:val="00DE6E7D"/>
    <w:rsid w:val="00DF1075"/>
    <w:rsid w:val="00E23B77"/>
    <w:rsid w:val="00E37954"/>
    <w:rsid w:val="00E46F32"/>
    <w:rsid w:val="00E846C5"/>
    <w:rsid w:val="00E84A7A"/>
    <w:rsid w:val="00E85ADB"/>
    <w:rsid w:val="00E918E9"/>
    <w:rsid w:val="00EB3D9C"/>
    <w:rsid w:val="00EB78C6"/>
    <w:rsid w:val="00EC1F08"/>
    <w:rsid w:val="00EF07D5"/>
    <w:rsid w:val="00F00963"/>
    <w:rsid w:val="00F10837"/>
    <w:rsid w:val="00F21144"/>
    <w:rsid w:val="00F31634"/>
    <w:rsid w:val="00F5114B"/>
    <w:rsid w:val="00F5191F"/>
    <w:rsid w:val="00F542B4"/>
    <w:rsid w:val="00F75CD0"/>
    <w:rsid w:val="00F81786"/>
    <w:rsid w:val="00FA2965"/>
    <w:rsid w:val="00FB4524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64C"/>
    <w:pPr>
      <w:spacing w:line="240" w:lineRule="atLeast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9577FF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9577FF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9577FF"/>
    <w:pPr>
      <w:ind w:left="1304"/>
    </w:pPr>
  </w:style>
  <w:style w:type="paragraph" w:styleId="Indholdsfortegnelse2">
    <w:name w:val="toc 2"/>
    <w:basedOn w:val="Normal"/>
    <w:next w:val="Normal"/>
    <w:semiHidden/>
    <w:rsid w:val="009577FF"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rsid w:val="009577FF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9577FF"/>
    <w:pPr>
      <w:tabs>
        <w:tab w:val="right" w:pos="8931"/>
      </w:tabs>
      <w:spacing w:after="1418"/>
    </w:pPr>
  </w:style>
  <w:style w:type="paragraph" w:customStyle="1" w:styleId="Liste">
    <w:name w:val="Liste"/>
    <w:basedOn w:val="Normal"/>
    <w:rsid w:val="009577FF"/>
    <w:pPr>
      <w:spacing w:before="120"/>
      <w:ind w:left="709" w:hanging="709"/>
    </w:pPr>
  </w:style>
  <w:style w:type="paragraph" w:customStyle="1" w:styleId="Brevtop">
    <w:name w:val="Brevtop"/>
    <w:basedOn w:val="Normal"/>
    <w:rsid w:val="009577FF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9577FF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9577FF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9577FF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9577FF"/>
  </w:style>
  <w:style w:type="paragraph" w:customStyle="1" w:styleId="Hilsen">
    <w:name w:val="Hilsen"/>
    <w:basedOn w:val="Normal"/>
    <w:rsid w:val="009577FF"/>
    <w:pPr>
      <w:keepNext/>
      <w:keepLines/>
      <w:spacing w:before="960" w:after="720"/>
    </w:pPr>
  </w:style>
  <w:style w:type="paragraph" w:customStyle="1" w:styleId="Dato2">
    <w:name w:val="Dato2"/>
    <w:basedOn w:val="Dato1"/>
    <w:rsid w:val="009577FF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9577FF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table" w:styleId="Tabel-Gitter">
    <w:name w:val="Table Grid"/>
    <w:basedOn w:val="Tabel-Normal"/>
    <w:rsid w:val="00C7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00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589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AnetteVo</dc:creator>
  <cp:lastModifiedBy>AnetteVo</cp:lastModifiedBy>
  <cp:revision>18</cp:revision>
  <cp:lastPrinted>2013-05-21T10:58:00Z</cp:lastPrinted>
  <dcterms:created xsi:type="dcterms:W3CDTF">2013-05-17T13:04:00Z</dcterms:created>
  <dcterms:modified xsi:type="dcterms:W3CDTF">2013-05-21T11:21:00Z</dcterms:modified>
</cp:coreProperties>
</file>